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9543" w14:textId="632D5299" w:rsidR="00E15C2A" w:rsidRPr="00E15C2A" w:rsidRDefault="003B3AD5" w:rsidP="001F6D33">
      <w:pPr>
        <w:pStyle w:val="Overskrift1"/>
        <w:rPr>
          <w:b/>
        </w:rPr>
      </w:pPr>
      <w:r>
        <w:rPr>
          <w:rFonts w:ascii="AvenirNext LT Pro Regular" w:hAnsi="AvenirNext LT Pro Regular" w:cs="AvenirNext LT Pro Regular"/>
        </w:rPr>
        <w:t>Forslag</w:t>
      </w:r>
      <w:r w:rsidRPr="003B3AD5">
        <w:rPr>
          <w:rFonts w:ascii="AvenirNext LT Pro Regular" w:hAnsi="AvenirNext LT Pro Regular" w:cs="AvenirNext LT Pro Regular"/>
        </w:rPr>
        <w:t xml:space="preserve"> til artikkel til intranett</w:t>
      </w:r>
    </w:p>
    <w:p w14:paraId="5E04FFA2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68835C91" w14:textId="77777777" w:rsidR="00D225F2" w:rsidRDefault="00D225F2" w:rsidP="00714474">
      <w:pPr>
        <w:rPr>
          <w:rFonts w:ascii="AvenirNext LT Pro Regular" w:hAnsi="AvenirNext LT Pro Regular" w:cs="AvenirNext LT Pro Regular"/>
          <w:b/>
          <w:sz w:val="28"/>
          <w:szCs w:val="28"/>
        </w:rPr>
      </w:pPr>
      <w:r>
        <w:rPr>
          <w:rFonts w:ascii="AvenirNext LT Pro Regular" w:hAnsi="AvenirNext LT Pro Regular" w:cs="AvenirNext LT Pro Regular"/>
          <w:b/>
          <w:sz w:val="28"/>
          <w:szCs w:val="28"/>
        </w:rPr>
        <w:t>Dugnad</w:t>
      </w:r>
      <w:r w:rsidRPr="00D225F2">
        <w:rPr>
          <w:rFonts w:ascii="AvenirNext LT Pro Regular" w:hAnsi="AvenirNext LT Pro Regular" w:cs="AvenirNext LT Pro Regular"/>
          <w:b/>
          <w:sz w:val="28"/>
          <w:szCs w:val="28"/>
        </w:rPr>
        <w:t xml:space="preserve"> </w:t>
      </w:r>
      <w:r w:rsidR="00714474" w:rsidRPr="00D225F2">
        <w:rPr>
          <w:rFonts w:ascii="AvenirNext LT Pro Regular" w:hAnsi="AvenirNext LT Pro Regular" w:cs="AvenirNext LT Pro Regular"/>
          <w:b/>
          <w:sz w:val="28"/>
          <w:szCs w:val="28"/>
        </w:rPr>
        <w:t xml:space="preserve">for </w:t>
      </w:r>
    </w:p>
    <w:p w14:paraId="5F3BFDBA" w14:textId="1283150C" w:rsidR="00714474" w:rsidRPr="00D225F2" w:rsidRDefault="00D225F2" w:rsidP="00714474">
      <w:pPr>
        <w:rPr>
          <w:rFonts w:ascii="AvenirNext LT Pro Regular" w:hAnsi="AvenirNext LT Pro Regular" w:cs="AvenirNext LT Pro Regular"/>
          <w:b/>
          <w:sz w:val="28"/>
          <w:szCs w:val="28"/>
        </w:rPr>
      </w:pPr>
      <w:r>
        <w:rPr>
          <w:rFonts w:ascii="AvenirNext LT Pro Regular" w:hAnsi="AvenirNext LT Pro Regular" w:cs="AvenirNext LT Pro Regular"/>
          <w:b/>
          <w:sz w:val="28"/>
          <w:szCs w:val="28"/>
        </w:rPr>
        <w:t>pasient</w:t>
      </w:r>
      <w:r w:rsidR="00714474" w:rsidRPr="00D225F2">
        <w:rPr>
          <w:rFonts w:ascii="AvenirNext LT Pro Regular" w:hAnsi="AvenirNext LT Pro Regular" w:cs="AvenirNext LT Pro Regular"/>
          <w:b/>
          <w:sz w:val="28"/>
          <w:szCs w:val="28"/>
        </w:rPr>
        <w:t xml:space="preserve">spørsmål </w:t>
      </w:r>
    </w:p>
    <w:p w14:paraId="1B81A795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52B40DA4" w14:textId="582F6C0B" w:rsidR="00714474" w:rsidRPr="00D225F2" w:rsidRDefault="00714474" w:rsidP="00714474">
      <w:pPr>
        <w:rPr>
          <w:rFonts w:ascii="AvenirNext LT Pro Regular" w:hAnsi="AvenirNext LT Pro Regular" w:cs="AvenirNext LT Pro Regular"/>
          <w:b/>
        </w:rPr>
      </w:pPr>
      <w:r w:rsidRPr="00D225F2">
        <w:rPr>
          <w:rFonts w:ascii="AvenirNext LT Pro Regular" w:hAnsi="AvenirNext LT Pro Regular" w:cs="AvenirNext LT Pro Regular"/>
          <w:b/>
        </w:rPr>
        <w:t xml:space="preserve">En av fire pasienter har </w:t>
      </w:r>
      <w:r w:rsidR="00D225F2" w:rsidRPr="00D225F2">
        <w:rPr>
          <w:rFonts w:ascii="AvenirNext LT Pro Regular" w:hAnsi="AvenirNext LT Pro Regular" w:cs="AvenirNext LT Pro Regular"/>
          <w:b/>
        </w:rPr>
        <w:t>bekymringer</w:t>
      </w:r>
      <w:r w:rsidR="00D225F2" w:rsidRPr="00D225F2">
        <w:rPr>
          <w:rFonts w:ascii="AvenirNext LT Pro Regular" w:hAnsi="AvenirNext LT Pro Regular" w:cs="AvenirNext LT Pro Regular"/>
          <w:b/>
        </w:rPr>
        <w:t xml:space="preserve"> </w:t>
      </w:r>
      <w:r w:rsidR="00D225F2">
        <w:rPr>
          <w:rFonts w:ascii="AvenirNext LT Pro Regular" w:hAnsi="AvenirNext LT Pro Regular" w:cs="AvenirNext LT Pro Regular"/>
          <w:b/>
        </w:rPr>
        <w:t xml:space="preserve">og </w:t>
      </w:r>
      <w:r w:rsidRPr="00D225F2">
        <w:rPr>
          <w:rFonts w:ascii="AvenirNext LT Pro Regular" w:hAnsi="AvenirNext LT Pro Regular" w:cs="AvenirNext LT Pro Regular"/>
          <w:b/>
        </w:rPr>
        <w:t xml:space="preserve">ubesvarte spørsmål. Grunnen til at de ikke stiller spørsmål er at de er redd for å være til bry og synes at helsepersonell er så travle. </w:t>
      </w:r>
    </w:p>
    <w:p w14:paraId="607C31E1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6895FF28" w14:textId="238C55B8" w:rsidR="00714474" w:rsidRDefault="00714474" w:rsidP="00714474">
      <w:pPr>
        <w:rPr>
          <w:rFonts w:ascii="AvenirNext LT Pro Regular" w:hAnsi="AvenirNext LT Pro Regular" w:cs="AvenirNext LT Pro Regular"/>
        </w:rPr>
      </w:pPr>
      <w:r w:rsidRPr="00DF5BFE">
        <w:rPr>
          <w:rFonts w:ascii="AvenirNext LT Pro Regular" w:hAnsi="AvenirNext LT Pro Regular" w:cs="AvenirNext LT Pro Regular"/>
        </w:rPr>
        <w:t xml:space="preserve">Resultatene er hentet fra en undersøkelse gjennomført av Dansk Selskab for </w:t>
      </w:r>
      <w:proofErr w:type="spellStart"/>
      <w:r w:rsidRPr="00DF5BFE">
        <w:rPr>
          <w:rFonts w:ascii="AvenirNext LT Pro Regular" w:hAnsi="AvenirNext LT Pro Regular" w:cs="AvenirNext LT Pro Regular"/>
        </w:rPr>
        <w:t>patiensikkerhed</w:t>
      </w:r>
      <w:proofErr w:type="spellEnd"/>
      <w:r w:rsidRPr="00DF5BFE">
        <w:rPr>
          <w:rFonts w:ascii="AvenirNext LT Pro Regular" w:hAnsi="AvenirNext LT Pro Regular" w:cs="AvenirNext LT Pro Regular"/>
        </w:rPr>
        <w:t xml:space="preserve"> og </w:t>
      </w:r>
      <w:proofErr w:type="spellStart"/>
      <w:r w:rsidRPr="00DF5BFE">
        <w:rPr>
          <w:rFonts w:ascii="AvenirNext LT Pro Regular" w:hAnsi="AvenirNext LT Pro Regular" w:cs="AvenirNext LT Pro Regular"/>
        </w:rPr>
        <w:t>TrygFonden</w:t>
      </w:r>
      <w:proofErr w:type="spellEnd"/>
      <w:r w:rsidRPr="00DF5BFE">
        <w:rPr>
          <w:rFonts w:ascii="AvenirNext LT Pro Regular" w:hAnsi="AvenirNext LT Pro Regular" w:cs="AvenirNext LT Pro Regular"/>
        </w:rPr>
        <w:t xml:space="preserve">. </w:t>
      </w:r>
      <w:r w:rsidR="00D225F2">
        <w:rPr>
          <w:rFonts w:ascii="AvenirNext LT Pro Regular" w:hAnsi="AvenirNext LT Pro Regular" w:cs="AvenirNext LT Pro Regular"/>
        </w:rPr>
        <w:t>Samtidig vet vi at d</w:t>
      </w:r>
      <w:r w:rsidRPr="00DF5BFE">
        <w:rPr>
          <w:rFonts w:ascii="AvenirNext LT Pro Regular" w:hAnsi="AvenirNext LT Pro Regular" w:cs="AvenirNext LT Pro Regular"/>
        </w:rPr>
        <w:t>et</w:t>
      </w:r>
      <w:r>
        <w:rPr>
          <w:rFonts w:ascii="AvenirNext LT Pro Regular" w:hAnsi="AvenirNext LT Pro Regular" w:cs="AvenirNext LT Pro Regular"/>
        </w:rPr>
        <w:t xml:space="preserve"> er lettere for pasienter å stille spørsmål hvis helsepersonell oppmuntrer </w:t>
      </w:r>
      <w:r w:rsidRPr="00820601">
        <w:rPr>
          <w:rFonts w:ascii="AvenirNext LT Pro Regular" w:hAnsi="AvenirNext LT Pro Regular" w:cs="AvenirNext LT Pro Regular"/>
        </w:rPr>
        <w:t>og støtte</w:t>
      </w:r>
      <w:r>
        <w:rPr>
          <w:rFonts w:ascii="AvenirNext LT Pro Regular" w:hAnsi="AvenirNext LT Pro Regular" w:cs="AvenirNext LT Pro Regular"/>
        </w:rPr>
        <w:t>r dem i dette. Derfor gjennomfører</w:t>
      </w:r>
      <w:r w:rsidR="00EA42B3">
        <w:rPr>
          <w:rFonts w:ascii="AvenirNext LT Pro Regular" w:hAnsi="AvenirNext LT Pro Regular" w:cs="AvenirNext LT Pro Regular"/>
        </w:rPr>
        <w:t xml:space="preserve"> vi på XX</w:t>
      </w:r>
      <w:r>
        <w:rPr>
          <w:rFonts w:ascii="AvenirNext LT Pro Regular" w:hAnsi="AvenirNext LT Pro Regular" w:cs="AvenirNext LT Pro Regular"/>
        </w:rPr>
        <w:t xml:space="preserve"> sykehus informasjonskampen Bare spør</w:t>
      </w:r>
      <w:r w:rsidR="00D225F2">
        <w:rPr>
          <w:rFonts w:ascii="AvenirNext LT Pro Regular" w:hAnsi="AvenirNext LT Pro Regular" w:cs="AvenirNext LT Pro Regular"/>
        </w:rPr>
        <w:t>!</w:t>
      </w:r>
      <w:r>
        <w:rPr>
          <w:rFonts w:ascii="AvenirNext LT Pro Regular" w:hAnsi="AvenirNext LT Pro Regular" w:cs="AvenirNext LT Pro Regular"/>
        </w:rPr>
        <w:t xml:space="preserve"> fra og med mandag den </w:t>
      </w:r>
      <w:proofErr w:type="spellStart"/>
      <w:r>
        <w:rPr>
          <w:rFonts w:ascii="AvenirNext LT Pro Regular" w:hAnsi="AvenirNext LT Pro Regular" w:cs="AvenirNext LT Pro Regular"/>
        </w:rPr>
        <w:t>xx.xx</w:t>
      </w:r>
      <w:proofErr w:type="spellEnd"/>
      <w:r>
        <w:rPr>
          <w:rFonts w:ascii="AvenirNext LT Pro Regular" w:hAnsi="AvenirNext LT Pro Regular" w:cs="AvenirNext LT Pro Regular"/>
        </w:rPr>
        <w:t xml:space="preserve"> </w:t>
      </w:r>
      <w:r w:rsidR="00D225F2">
        <w:rPr>
          <w:rFonts w:ascii="AvenirNext LT Pro Regular" w:hAnsi="AvenirNext LT Pro Regular" w:cs="AvenirNext LT Pro Regular"/>
        </w:rPr>
        <w:t xml:space="preserve">til fredag den </w:t>
      </w:r>
      <w:proofErr w:type="spellStart"/>
      <w:r w:rsidR="00D225F2">
        <w:rPr>
          <w:rFonts w:ascii="AvenirNext LT Pro Regular" w:hAnsi="AvenirNext LT Pro Regular" w:cs="AvenirNext LT Pro Regular"/>
        </w:rPr>
        <w:t>xx.xx</w:t>
      </w:r>
      <w:proofErr w:type="spellEnd"/>
      <w:r w:rsidR="00D225F2">
        <w:rPr>
          <w:rFonts w:ascii="AvenirNext LT Pro Regular" w:hAnsi="AvenirNext LT Pro Regular" w:cs="AvenirNext LT Pro Regular"/>
        </w:rPr>
        <w:t>.</w:t>
      </w:r>
    </w:p>
    <w:p w14:paraId="5D6A82B6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5A257082" w14:textId="77777777" w:rsidR="00714474" w:rsidRPr="00D225F2" w:rsidRDefault="00714474" w:rsidP="00714474">
      <w:pPr>
        <w:rPr>
          <w:rFonts w:ascii="AvenirNext LT Pro Regular" w:hAnsi="AvenirNext LT Pro Regular" w:cs="AvenirNext LT Pro Regular"/>
          <w:i/>
        </w:rPr>
      </w:pPr>
      <w:r w:rsidRPr="00D225F2">
        <w:rPr>
          <w:rFonts w:ascii="AvenirNext LT Pro Regular" w:hAnsi="AvenirNext LT Pro Regular" w:cs="AvenirNext LT Pro Regular"/>
          <w:i/>
        </w:rPr>
        <w:t>- Her kan det settes inn et oppfordrende sitat fra en leder om hvorfor alle ansatte bør engasjere seg i dette</w:t>
      </w:r>
    </w:p>
    <w:p w14:paraId="695A16BF" w14:textId="77777777" w:rsidR="003B3AD5" w:rsidRDefault="003B3AD5" w:rsidP="00714474">
      <w:pPr>
        <w:rPr>
          <w:rFonts w:ascii="AvenirNext LT Pro Regular" w:hAnsi="AvenirNext LT Pro Regular" w:cs="AvenirNext LT Pro Regular"/>
        </w:rPr>
      </w:pPr>
    </w:p>
    <w:p w14:paraId="40279054" w14:textId="77777777" w:rsidR="003B3AD5" w:rsidRPr="00D225F2" w:rsidRDefault="003B3AD5" w:rsidP="00714474">
      <w:pPr>
        <w:rPr>
          <w:rFonts w:ascii="AvenirNext LT Pro Regular" w:hAnsi="AvenirNext LT Pro Regular" w:cs="AvenirNext LT Pro Regular"/>
          <w:b/>
        </w:rPr>
      </w:pPr>
      <w:r w:rsidRPr="00D225F2">
        <w:rPr>
          <w:rFonts w:ascii="AvenirNext LT Pro Regular" w:hAnsi="AvenirNext LT Pro Regular" w:cs="AvenirNext LT Pro Regular"/>
          <w:b/>
        </w:rPr>
        <w:t>Bare spør!</w:t>
      </w:r>
    </w:p>
    <w:p w14:paraId="48D8B26B" w14:textId="77777777" w:rsidR="00EA42B3" w:rsidRDefault="00714474" w:rsidP="00714474">
      <w:pPr>
        <w:rPr>
          <w:rFonts w:ascii="AvenirNext LT Pro Regular" w:hAnsi="AvenirNext LT Pro Regular" w:cs="AvenirNext LT Pro Regular"/>
        </w:rPr>
      </w:pPr>
      <w:r>
        <w:rPr>
          <w:rFonts w:ascii="AvenirNext LT Pro Regular" w:hAnsi="AvenirNext LT Pro Regular" w:cs="AvenirNext LT Pro Regular"/>
        </w:rPr>
        <w:t xml:space="preserve">For </w:t>
      </w:r>
      <w:r w:rsidRPr="0012122B">
        <w:rPr>
          <w:rFonts w:ascii="AvenirNext LT Pro Regular" w:hAnsi="AvenirNext LT Pro Regular" w:cs="AvenirNext LT Pro Regular"/>
        </w:rPr>
        <w:t xml:space="preserve">å styrke pasienter, brukere og pårørendes mulighet til å påvirke sikkerhet rundt egen behandling, har pasientsikkerhetsprogrammet </w:t>
      </w:r>
      <w:r>
        <w:rPr>
          <w:rFonts w:ascii="AvenirNext LT Pro Regular" w:hAnsi="AvenirNext LT Pro Regular" w:cs="AvenirNext LT Pro Regular"/>
        </w:rPr>
        <w:t xml:space="preserve">I trygge hender 24-7 </w:t>
      </w:r>
      <w:r w:rsidRPr="0012122B">
        <w:rPr>
          <w:rFonts w:ascii="AvenirNext LT Pro Regular" w:hAnsi="AvenirNext LT Pro Regular" w:cs="AvenirNext LT Pro Regular"/>
        </w:rPr>
        <w:t xml:space="preserve">laget en brosjyre med informasjon og forslag til spørsmål </w:t>
      </w:r>
      <w:r>
        <w:rPr>
          <w:rFonts w:ascii="AvenirNext LT Pro Regular" w:hAnsi="AvenirNext LT Pro Regular" w:cs="AvenirNext LT Pro Regular"/>
        </w:rPr>
        <w:t xml:space="preserve">som </w:t>
      </w:r>
      <w:r w:rsidRPr="0012122B">
        <w:rPr>
          <w:rFonts w:ascii="AvenirNext LT Pro Regular" w:hAnsi="AvenirNext LT Pro Regular" w:cs="AvenirNext LT Pro Regular"/>
        </w:rPr>
        <w:t>pasienter kan sti</w:t>
      </w:r>
      <w:r>
        <w:rPr>
          <w:rFonts w:ascii="AvenirNext LT Pro Regular" w:hAnsi="AvenirNext LT Pro Regular" w:cs="AvenirNext LT Pro Regular"/>
        </w:rPr>
        <w:t>lle i møte med helsetjenesten.</w:t>
      </w:r>
    </w:p>
    <w:p w14:paraId="3C418CC9" w14:textId="77777777" w:rsidR="00EA42B3" w:rsidRDefault="00EA42B3" w:rsidP="00714474">
      <w:pPr>
        <w:rPr>
          <w:rFonts w:ascii="AvenirNext LT Pro Regular" w:hAnsi="AvenirNext LT Pro Regular" w:cs="AvenirNext LT Pro Regular"/>
        </w:rPr>
      </w:pPr>
    </w:p>
    <w:p w14:paraId="39C2D3A9" w14:textId="184B7ECE" w:rsidR="00714474" w:rsidRDefault="00EA42B3" w:rsidP="00714474">
      <w:pPr>
        <w:rPr>
          <w:rFonts w:ascii="AvenirNext LT Pro Regular" w:hAnsi="AvenirNext LT Pro Regular" w:cs="AvenirNext LT Pro Regular"/>
        </w:rPr>
      </w:pPr>
      <w:r>
        <w:rPr>
          <w:rFonts w:ascii="AvenirNext LT Pro Regular" w:hAnsi="AvenirNext LT Pro Regular" w:cs="AvenirNext LT Pro Regular"/>
        </w:rPr>
        <w:t>Brosjyren ligger på helsenorge.no/</w:t>
      </w:r>
      <w:proofErr w:type="spellStart"/>
      <w:r>
        <w:rPr>
          <w:rFonts w:ascii="AvenirNext LT Pro Regular" w:hAnsi="AvenirNext LT Pro Regular" w:cs="AvenirNext LT Pro Regular"/>
        </w:rPr>
        <w:t>barespor</w:t>
      </w:r>
      <w:proofErr w:type="spellEnd"/>
      <w:r>
        <w:rPr>
          <w:rFonts w:ascii="AvenirNext LT Pro Regular" w:hAnsi="AvenirNext LT Pro Regular" w:cs="AvenirNext LT Pro Regular"/>
        </w:rPr>
        <w:t xml:space="preserve"> </w:t>
      </w:r>
      <w:r w:rsidR="00B25288">
        <w:rPr>
          <w:rFonts w:ascii="AvenirNext LT Pro Regular" w:hAnsi="AvenirNext LT Pro Regular" w:cs="AvenirNext LT Pro Regular"/>
        </w:rPr>
        <w:t>.</w:t>
      </w:r>
      <w:bookmarkStart w:id="0" w:name="_GoBack"/>
      <w:bookmarkEnd w:id="0"/>
    </w:p>
    <w:p w14:paraId="023ECFAB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3EB17B5C" w14:textId="77777777" w:rsidR="00EA42B3" w:rsidRPr="00D225F2" w:rsidRDefault="00EA42B3" w:rsidP="00714474">
      <w:pPr>
        <w:rPr>
          <w:rFonts w:ascii="AvenirNext LT Pro Regular" w:hAnsi="AvenirNext LT Pro Regular" w:cs="AvenirNext LT Pro Regular"/>
          <w:b/>
        </w:rPr>
      </w:pPr>
      <w:r w:rsidRPr="00D225F2">
        <w:rPr>
          <w:rFonts w:ascii="AvenirNext LT Pro Regular" w:hAnsi="AvenirNext LT Pro Regular" w:cs="AvenirNext LT Pro Regular"/>
          <w:b/>
        </w:rPr>
        <w:t>Informasjonskampanje på sykehuset</w:t>
      </w:r>
    </w:p>
    <w:p w14:paraId="39D640A8" w14:textId="0544DC33" w:rsidR="00714474" w:rsidRDefault="00714474" w:rsidP="00714474">
      <w:r>
        <w:rPr>
          <w:rFonts w:ascii="AvenirNext LT Pro Regular" w:hAnsi="AvenirNext LT Pro Regular" w:cs="AvenirNext LT Pro Regular"/>
        </w:rPr>
        <w:t xml:space="preserve">I løpet av uke </w:t>
      </w:r>
      <w:r w:rsidRPr="00D225F2">
        <w:rPr>
          <w:rFonts w:ascii="AvenirNext LT Pro Regular" w:hAnsi="AvenirNext LT Pro Regular" w:cs="AvenirNext LT Pro Regular"/>
          <w:highlight w:val="yellow"/>
        </w:rPr>
        <w:t>xx</w:t>
      </w:r>
      <w:r>
        <w:rPr>
          <w:rFonts w:ascii="AvenirNext LT Pro Regular" w:hAnsi="AvenirNext LT Pro Regular" w:cs="AvenirNext LT Pro Regular"/>
        </w:rPr>
        <w:t xml:space="preserve"> skal brosjyren deles ut av ansatte på sykehuset og samtidig</w:t>
      </w:r>
      <w:r w:rsidR="00EA42B3">
        <w:rPr>
          <w:rFonts w:ascii="AvenirNext LT Pro Regular" w:hAnsi="AvenirNext LT Pro Regular" w:cs="AvenirNext LT Pro Regular"/>
        </w:rPr>
        <w:t xml:space="preserve"> skal</w:t>
      </w:r>
      <w:r>
        <w:rPr>
          <w:rFonts w:ascii="AvenirNext LT Pro Regular" w:hAnsi="AvenirNext LT Pro Regular" w:cs="AvenirNext LT Pro Regular"/>
        </w:rPr>
        <w:t xml:space="preserve"> pasientene</w:t>
      </w:r>
      <w:r w:rsidR="00EA42B3">
        <w:rPr>
          <w:rFonts w:ascii="AvenirNext LT Pro Regular" w:hAnsi="AvenirNext LT Pro Regular" w:cs="AvenirNext LT Pro Regular"/>
        </w:rPr>
        <w:t xml:space="preserve"> oppfordres</w:t>
      </w:r>
      <w:r>
        <w:rPr>
          <w:rFonts w:ascii="AvenirNext LT Pro Regular" w:hAnsi="AvenirNext LT Pro Regular" w:cs="AvenirNext LT Pro Regular"/>
        </w:rPr>
        <w:t xml:space="preserve"> til å stille spørsmål hvis det er noe de lurer på. </w:t>
      </w:r>
    </w:p>
    <w:p w14:paraId="6B7B3B67" w14:textId="77777777" w:rsidR="00714474" w:rsidRDefault="00714474" w:rsidP="00714474"/>
    <w:p w14:paraId="71A2DE78" w14:textId="05B43B1A" w:rsidR="00714474" w:rsidRDefault="00714474" w:rsidP="00714474">
      <w:pPr>
        <w:rPr>
          <w:rFonts w:ascii="AvenirNext LT Pro Regular" w:hAnsi="AvenirNext LT Pro Regular" w:cs="AvenirNext LT Pro Regular"/>
        </w:rPr>
      </w:pPr>
      <w:r>
        <w:rPr>
          <w:rFonts w:ascii="AvenirNext LT Pro Regular" w:hAnsi="AvenirNext LT Pro Regular" w:cs="AvenirNext LT Pro Regular"/>
        </w:rPr>
        <w:t xml:space="preserve">En god samtale gir god og sikker behandling. Helsepersonell har hovedansvaret for dette. </w:t>
      </w:r>
      <w:r w:rsidR="00D225F2">
        <w:rPr>
          <w:rFonts w:ascii="AvenirNext LT Pro Regular" w:hAnsi="AvenirNext LT Pro Regular" w:cs="AvenirNext LT Pro Regular"/>
        </w:rPr>
        <w:t xml:space="preserve">Det er de som må lytte og oppfordre pasientene til å stille spørsmål. Det å legge til rette for </w:t>
      </w:r>
      <w:r>
        <w:rPr>
          <w:rFonts w:ascii="AvenirNext LT Pro Regular" w:hAnsi="AvenirNext LT Pro Regular" w:cs="AvenirNext LT Pro Regular"/>
        </w:rPr>
        <w:t xml:space="preserve">en god dialog </w:t>
      </w:r>
      <w:r w:rsidR="00D225F2">
        <w:rPr>
          <w:rFonts w:ascii="AvenirNext LT Pro Regular" w:hAnsi="AvenirNext LT Pro Regular" w:cs="AvenirNext LT Pro Regular"/>
        </w:rPr>
        <w:t xml:space="preserve">fører til </w:t>
      </w:r>
      <w:r>
        <w:rPr>
          <w:rFonts w:ascii="AvenirNext LT Pro Regular" w:hAnsi="AvenirNext LT Pro Regular" w:cs="AvenirNext LT Pro Regular"/>
        </w:rPr>
        <w:t xml:space="preserve">mer presis diagnostikk, bedre etterlevelse, mer tilfredse pasienter og mer fornøyde ansatte. </w:t>
      </w:r>
    </w:p>
    <w:p w14:paraId="103D8BC5" w14:textId="77777777" w:rsidR="00714474" w:rsidRDefault="00714474" w:rsidP="00714474"/>
    <w:p w14:paraId="2427C6E1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  <w:r>
        <w:rPr>
          <w:rFonts w:ascii="AvenirNext LT Pro Regular" w:hAnsi="AvenirNext LT Pro Regular" w:cs="AvenirNext LT Pro Regular"/>
        </w:rPr>
        <w:t xml:space="preserve">- Effektiv og god kommunikasjon mellom behandler og pasient krever struktur og må trenes på. Du kan begynne med å oppfordre pasienter og pårørende til å stille spørsmål – og svare på dem, sier Anne-Grete Skjellanger, sekretariatsleder for </w:t>
      </w:r>
      <w:r w:rsidRPr="0012122B">
        <w:rPr>
          <w:rFonts w:ascii="AvenirNext LT Pro Regular" w:hAnsi="AvenirNext LT Pro Regular" w:cs="AvenirNext LT Pro Regular"/>
        </w:rPr>
        <w:t xml:space="preserve">pasientsikkerhetsprogrammet </w:t>
      </w:r>
      <w:r>
        <w:rPr>
          <w:rFonts w:ascii="AvenirNext LT Pro Regular" w:hAnsi="AvenirNext LT Pro Regular" w:cs="AvenirNext LT Pro Regular"/>
        </w:rPr>
        <w:t>I trygge hender 24-7.</w:t>
      </w:r>
    </w:p>
    <w:p w14:paraId="25057610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5D8F12DC" w14:textId="77777777" w:rsidR="00714474" w:rsidRDefault="00714474" w:rsidP="00714474">
      <w:pPr>
        <w:rPr>
          <w:rFonts w:ascii="AvenirNext LT Pro Regular" w:hAnsi="AvenirNext LT Pro Regular" w:cs="AvenirNext LT Pro Regular"/>
        </w:rPr>
      </w:pPr>
    </w:p>
    <w:p w14:paraId="54D373F6" w14:textId="77777777" w:rsidR="00714474" w:rsidRDefault="00714474" w:rsidP="00714474"/>
    <w:p w14:paraId="4F148FBD" w14:textId="77777777" w:rsidR="001C2793" w:rsidRPr="008B18B4" w:rsidRDefault="001C2793" w:rsidP="00714474">
      <w:pPr>
        <w:pStyle w:val="Rentekst"/>
        <w:rPr>
          <w:rFonts w:ascii="AvenirNext LT Pro Regular" w:hAnsi="AvenirNext LT Pro Regular"/>
        </w:rPr>
      </w:pPr>
    </w:p>
    <w:sectPr w:rsidR="001C2793" w:rsidRPr="008B18B4" w:rsidSect="00C00F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94" w:right="794" w:bottom="2693" w:left="1701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19D1" w14:textId="77777777" w:rsidR="007E4F38" w:rsidRDefault="007E4F38" w:rsidP="00FB1082">
      <w:pPr>
        <w:spacing w:line="240" w:lineRule="auto"/>
      </w:pPr>
      <w:r>
        <w:separator/>
      </w:r>
    </w:p>
  </w:endnote>
  <w:endnote w:type="continuationSeparator" w:id="0">
    <w:p w14:paraId="1DE64B85" w14:textId="77777777" w:rsidR="007E4F38" w:rsidRDefault="007E4F38" w:rsidP="00FB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Times New Roman"/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AvenirNextLTPro-Demi">
    <w:altName w:val="Times New Roman"/>
    <w:panose1 w:val="020B0703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Times New Roman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6A0C5" w14:textId="77777777" w:rsidR="00327F9E" w:rsidRPr="00A57CE7" w:rsidRDefault="00327F9E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D225F2">
      <w:rPr>
        <w:noProof/>
        <w14:numForm w14:val="oldStyle"/>
      </w:rPr>
      <w:t>2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numpages </w:instrText>
    </w:r>
    <w:r w:rsidRPr="00A57CE7">
      <w:rPr>
        <w14:numForm w14:val="oldStyle"/>
      </w:rPr>
      <w:fldChar w:fldCharType="separate"/>
    </w:r>
    <w:r w:rsidR="00D225F2">
      <w:rPr>
        <w:noProof/>
        <w14:numForm w14:val="oldStyle"/>
      </w:rPr>
      <w:t>2</w:t>
    </w:r>
    <w:r w:rsidRPr="00A57CE7">
      <w:rPr>
        <w14:numForm w14:val="oldSty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6E2E" w14:textId="77777777" w:rsidR="00EE2D4A" w:rsidRPr="00A57CE7" w:rsidRDefault="00EE2D4A" w:rsidP="00EE2D4A">
    <w:pPr>
      <w:pStyle w:val="Bunntekst"/>
      <w:rPr>
        <w14:numForm w14:val="oldStyle"/>
      </w:rPr>
    </w:pPr>
    <w:r w:rsidRPr="00A57CE7">
      <w:rPr>
        <w14:numForm w14:val="oldStyle"/>
      </w:rPr>
      <w:fldChar w:fldCharType="begin"/>
    </w:r>
    <w:r w:rsidRPr="00A57CE7">
      <w:rPr>
        <w14:numForm w14:val="oldStyle"/>
      </w:rPr>
      <w:instrText xml:space="preserve"> page </w:instrText>
    </w:r>
    <w:r w:rsidRPr="00A57CE7">
      <w:rPr>
        <w14:numForm w14:val="oldStyle"/>
      </w:rPr>
      <w:fldChar w:fldCharType="separate"/>
    </w:r>
    <w:r w:rsidR="00B25288">
      <w:rPr>
        <w:noProof/>
        <w14:numForm w14:val="oldStyle"/>
      </w:rPr>
      <w:t>1</w:t>
    </w:r>
    <w:r w:rsidRPr="00A57CE7">
      <w:rPr>
        <w14:numForm w14:val="oldStyle"/>
      </w:rPr>
      <w:fldChar w:fldCharType="end"/>
    </w:r>
    <w:r w:rsidRPr="00A57CE7">
      <w:rPr>
        <w14:numForm w14:val="oldStyle"/>
      </w:rPr>
      <w:t>/</w:t>
    </w:r>
    <w:r w:rsidR="00CB4F87" w:rsidRPr="00A57CE7">
      <w:rPr>
        <w14:numForm w14:val="oldStyle"/>
      </w:rPr>
      <w:fldChar w:fldCharType="begin"/>
    </w:r>
    <w:r w:rsidR="00CB4F87" w:rsidRPr="00A57CE7">
      <w:rPr>
        <w14:numForm w14:val="oldStyle"/>
      </w:rPr>
      <w:instrText xml:space="preserve"> numpages </w:instrText>
    </w:r>
    <w:r w:rsidR="00CB4F87" w:rsidRPr="00A57CE7">
      <w:rPr>
        <w14:numForm w14:val="oldStyle"/>
      </w:rPr>
      <w:fldChar w:fldCharType="separate"/>
    </w:r>
    <w:r w:rsidR="00B25288">
      <w:rPr>
        <w:noProof/>
        <w14:numForm w14:val="oldStyle"/>
      </w:rPr>
      <w:t>2</w:t>
    </w:r>
    <w:r w:rsidR="00CB4F87" w:rsidRPr="00A57CE7">
      <w:rPr>
        <w:noProof/>
        <w14:numForm w14:val="oldStyle"/>
      </w:rPr>
      <w:fldChar w:fldCharType="end"/>
    </w:r>
    <w:r w:rsidR="00C00F47" w:rsidRPr="00A57CE7"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625585AC" wp14:editId="05F60914">
          <wp:simplePos x="0" y="0"/>
          <wp:positionH relativeFrom="page">
            <wp:posOffset>4975860</wp:posOffset>
          </wp:positionH>
          <wp:positionV relativeFrom="page">
            <wp:posOffset>10116185</wp:posOffset>
          </wp:positionV>
          <wp:extent cx="2584800" cy="576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lsedirektorat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BBE9" w14:textId="77777777" w:rsidR="007E4F38" w:rsidRDefault="007E4F38" w:rsidP="00FB1082">
      <w:pPr>
        <w:spacing w:line="240" w:lineRule="auto"/>
      </w:pPr>
      <w:r>
        <w:separator/>
      </w:r>
    </w:p>
  </w:footnote>
  <w:footnote w:type="continuationSeparator" w:id="0">
    <w:p w14:paraId="585E9B5A" w14:textId="77777777" w:rsidR="007E4F38" w:rsidRDefault="007E4F38" w:rsidP="00FB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B33E" w14:textId="77777777" w:rsidR="00224656" w:rsidRDefault="0022465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89B6E61" wp14:editId="2DE66990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7E17" w14:textId="77777777" w:rsidR="00C00F47" w:rsidRDefault="00C00F4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7B6C897C" wp14:editId="0DE34187">
          <wp:simplePos x="0" y="0"/>
          <wp:positionH relativeFrom="page">
            <wp:posOffset>4877435</wp:posOffset>
          </wp:positionH>
          <wp:positionV relativeFrom="page">
            <wp:posOffset>0</wp:posOffset>
          </wp:positionV>
          <wp:extent cx="2683042" cy="986589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5F1"/>
    <w:multiLevelType w:val="hybridMultilevel"/>
    <w:tmpl w:val="3C3AEA3A"/>
    <w:lvl w:ilvl="0" w:tplc="6C9AC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a Tetlie">
    <w15:presenceInfo w15:providerId="None" w15:userId="Kaia Tet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4"/>
    <w:rsid w:val="00037FDF"/>
    <w:rsid w:val="0006629D"/>
    <w:rsid w:val="000F4E4B"/>
    <w:rsid w:val="00114150"/>
    <w:rsid w:val="0012173E"/>
    <w:rsid w:val="00125F08"/>
    <w:rsid w:val="00127EE5"/>
    <w:rsid w:val="00130EFC"/>
    <w:rsid w:val="00152E02"/>
    <w:rsid w:val="001614B3"/>
    <w:rsid w:val="001A1B9B"/>
    <w:rsid w:val="001B3EBD"/>
    <w:rsid w:val="001B5C86"/>
    <w:rsid w:val="001C004D"/>
    <w:rsid w:val="001C2793"/>
    <w:rsid w:val="001E4223"/>
    <w:rsid w:val="001F6D33"/>
    <w:rsid w:val="00204126"/>
    <w:rsid w:val="0021724C"/>
    <w:rsid w:val="00224656"/>
    <w:rsid w:val="00233880"/>
    <w:rsid w:val="00272110"/>
    <w:rsid w:val="002939A2"/>
    <w:rsid w:val="002B4AFF"/>
    <w:rsid w:val="00327F9E"/>
    <w:rsid w:val="003411A4"/>
    <w:rsid w:val="00396DEE"/>
    <w:rsid w:val="003B3AD5"/>
    <w:rsid w:val="00406F92"/>
    <w:rsid w:val="004701DF"/>
    <w:rsid w:val="004B7251"/>
    <w:rsid w:val="004E55E1"/>
    <w:rsid w:val="00561AF3"/>
    <w:rsid w:val="00561B6C"/>
    <w:rsid w:val="005A7B18"/>
    <w:rsid w:val="00665B95"/>
    <w:rsid w:val="006B7301"/>
    <w:rsid w:val="006D468D"/>
    <w:rsid w:val="00714474"/>
    <w:rsid w:val="007153D6"/>
    <w:rsid w:val="00726670"/>
    <w:rsid w:val="00750F9F"/>
    <w:rsid w:val="007A402A"/>
    <w:rsid w:val="007A7A86"/>
    <w:rsid w:val="007B7CC4"/>
    <w:rsid w:val="007D4415"/>
    <w:rsid w:val="007E4F38"/>
    <w:rsid w:val="007E5433"/>
    <w:rsid w:val="007F34D5"/>
    <w:rsid w:val="00800573"/>
    <w:rsid w:val="008172E5"/>
    <w:rsid w:val="00824784"/>
    <w:rsid w:val="008309FA"/>
    <w:rsid w:val="00865AA1"/>
    <w:rsid w:val="0089006D"/>
    <w:rsid w:val="008A1119"/>
    <w:rsid w:val="008B18B4"/>
    <w:rsid w:val="0090704B"/>
    <w:rsid w:val="00910564"/>
    <w:rsid w:val="00953B08"/>
    <w:rsid w:val="00990315"/>
    <w:rsid w:val="009C2C17"/>
    <w:rsid w:val="00A46282"/>
    <w:rsid w:val="00A55D24"/>
    <w:rsid w:val="00A57CE7"/>
    <w:rsid w:val="00A77ACC"/>
    <w:rsid w:val="00A77C44"/>
    <w:rsid w:val="00A86825"/>
    <w:rsid w:val="00AB1E7C"/>
    <w:rsid w:val="00AD55C9"/>
    <w:rsid w:val="00AD5CB5"/>
    <w:rsid w:val="00B13D5B"/>
    <w:rsid w:val="00B25288"/>
    <w:rsid w:val="00B31EE2"/>
    <w:rsid w:val="00B3309D"/>
    <w:rsid w:val="00B434B4"/>
    <w:rsid w:val="00B626CA"/>
    <w:rsid w:val="00BD475E"/>
    <w:rsid w:val="00C00F47"/>
    <w:rsid w:val="00C468B4"/>
    <w:rsid w:val="00C657CF"/>
    <w:rsid w:val="00CB4F87"/>
    <w:rsid w:val="00CC2889"/>
    <w:rsid w:val="00CF1D73"/>
    <w:rsid w:val="00D22584"/>
    <w:rsid w:val="00D225F2"/>
    <w:rsid w:val="00DC28C6"/>
    <w:rsid w:val="00E15C2A"/>
    <w:rsid w:val="00E93D33"/>
    <w:rsid w:val="00EA42B3"/>
    <w:rsid w:val="00EC4FDC"/>
    <w:rsid w:val="00EE2D4A"/>
    <w:rsid w:val="00F43BD9"/>
    <w:rsid w:val="00F75CE5"/>
    <w:rsid w:val="00F97D65"/>
    <w:rsid w:val="00FB1082"/>
    <w:rsid w:val="00FC218B"/>
    <w:rsid w:val="00FD6066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76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pPr>
      <w:spacing w:line="300" w:lineRule="atLeast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pPr>
      <w:spacing w:line="300" w:lineRule="atLeast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F08"/>
    <w:pPr>
      <w:keepNext/>
      <w:keepLines/>
      <w:spacing w:after="260" w:line="480" w:lineRule="exact"/>
      <w:outlineLvl w:val="0"/>
    </w:pPr>
    <w:rPr>
      <w:rFonts w:asciiTheme="majorHAnsi" w:eastAsiaTheme="majorEastAsia" w:hAnsiTheme="majorHAnsi" w:cstheme="majorBidi"/>
      <w:bCs/>
      <w:color w:val="FF6E00"/>
      <w:sz w:val="3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F08"/>
    <w:rPr>
      <w:rFonts w:asciiTheme="majorHAnsi" w:eastAsiaTheme="majorEastAsia" w:hAnsiTheme="majorHAnsi" w:cstheme="majorBidi"/>
      <w:bCs/>
      <w:color w:val="FF6E00"/>
      <w:sz w:val="34"/>
      <w:szCs w:val="28"/>
      <w14:ligatures w14:val="all"/>
    </w:rPr>
  </w:style>
  <w:style w:type="table" w:styleId="Tabellrutenett">
    <w:name w:val="Table Grid"/>
    <w:basedOn w:val="Vanligtabell"/>
    <w:uiPriority w:val="59"/>
    <w:rsid w:val="00A46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4F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FD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82"/>
    <w:rPr>
      <w:rFonts w:asciiTheme="minorHAnsi" w:hAnsiTheme="minorHAnsi"/>
      <w14:ligatures w14:val="all"/>
    </w:rPr>
  </w:style>
  <w:style w:type="paragraph" w:styleId="Bunntekst">
    <w:name w:val="footer"/>
    <w:basedOn w:val="Normal"/>
    <w:link w:val="BunntekstTegn"/>
    <w:uiPriority w:val="99"/>
    <w:unhideWhenUsed/>
    <w:rsid w:val="00FB108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82"/>
    <w:rPr>
      <w:rFonts w:asciiTheme="minorHAnsi" w:hAnsiTheme="minorHAnsi"/>
      <w14:ligatures w14:val="all"/>
    </w:rPr>
  </w:style>
  <w:style w:type="paragraph" w:customStyle="1" w:styleId="Ledetekstadressefelt">
    <w:name w:val="Ledetekst adressefelt"/>
    <w:basedOn w:val="Normal"/>
    <w:qFormat/>
    <w:rsid w:val="00114150"/>
    <w:pPr>
      <w:framePr w:hSpace="142" w:vSpace="5670" w:wrap="around" w:vAnchor="page" w:hAnchor="text" w:y="1946"/>
      <w:suppressOverlap/>
    </w:pPr>
    <w:rPr>
      <w:rFonts w:ascii="AvenirNext LT Pro Medium" w:hAnsi="AvenirNext LT Pro Medium"/>
      <w:sz w:val="13"/>
      <w:szCs w:val="13"/>
    </w:rPr>
  </w:style>
  <w:style w:type="paragraph" w:customStyle="1" w:styleId="Bunntekstfet">
    <w:name w:val="Bunntekst fet"/>
    <w:basedOn w:val="Normal"/>
    <w:qFormat/>
    <w:rsid w:val="00114150"/>
    <w:pPr>
      <w:spacing w:line="180" w:lineRule="exact"/>
    </w:pPr>
    <w:rPr>
      <w:rFonts w:asciiTheme="majorHAnsi" w:hAnsiTheme="majorHAnsi"/>
      <w:b/>
      <w:bCs/>
      <w:color w:val="FF6E00"/>
      <w:sz w:val="13"/>
      <w:szCs w:val="13"/>
    </w:rPr>
  </w:style>
  <w:style w:type="table" w:customStyle="1" w:styleId="Tabellrutenett1">
    <w:name w:val="Tabellrutenett1"/>
    <w:basedOn w:val="Vanligtabell"/>
    <w:next w:val="Tabellrutenett"/>
    <w:uiPriority w:val="59"/>
    <w:rsid w:val="00E15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B18B4"/>
    <w:pPr>
      <w:spacing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B18B4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8B18B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\MALER%20og%20LOGO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 Trygge hender">
      <a:majorFont>
        <a:latin typeface="AvenirNextLTPro-Demi"/>
        <a:ea typeface=""/>
        <a:cs typeface=""/>
      </a:majorFont>
      <a:minorFont>
        <a:latin typeface="AvenirNext LT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2EC6706-8B09-460A-B217-6AAB0F5B4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4</TotalTime>
  <Pages>2</Pages>
  <Words>287</Words>
  <Characters>1526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 trygge hender\rebestillingavwordmalerogpowerpointmal</Company>
  <LinksUpToDate>false</LinksUpToDate>
  <CharactersWithSpaces>1810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Houg</dc:creator>
  <dc:description>Template by addpoint.no</dc:description>
  <cp:lastModifiedBy>Tonje Houg</cp:lastModifiedBy>
  <cp:revision>3</cp:revision>
  <cp:lastPrinted>2015-03-03T08:01:00Z</cp:lastPrinted>
  <dcterms:created xsi:type="dcterms:W3CDTF">2015-12-22T09:22:00Z</dcterms:created>
  <dcterms:modified xsi:type="dcterms:W3CDTF">2015-12-22T09:23:00Z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